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Default="00A515FB">
      <w:pPr>
        <w:widowControl/>
        <w:spacing w:afterLines="100" w:after="312" w:line="560" w:lineRule="exact"/>
        <w:ind w:right="204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附件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3</w:t>
      </w:r>
    </w:p>
    <w:p w:rsidR="00436890" w:rsidRDefault="00A515FB">
      <w:pPr>
        <w:widowControl/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32"/>
        </w:rPr>
      </w:pP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第</w:t>
      </w:r>
      <w:r w:rsidR="00414A7E"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六</w:t>
      </w: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届全国大学生</w:t>
      </w:r>
      <w:r>
        <w:rPr>
          <w:rFonts w:asciiTheme="majorEastAsia" w:eastAsiaTheme="majorEastAsia" w:hAnsiTheme="majorEastAsia" w:cs="Times New Roman"/>
          <w:b/>
          <w:bCs/>
          <w:sz w:val="44"/>
          <w:szCs w:val="32"/>
        </w:rPr>
        <w:t>“茅以升公益桥—小桥工程”</w:t>
      </w:r>
      <w:r>
        <w:rPr>
          <w:rFonts w:ascii="Times New Roman" w:eastAsiaTheme="majorEastAsia" w:hAnsi="Times New Roman" w:cs="Times New Roman"/>
          <w:b/>
          <w:bCs/>
          <w:sz w:val="44"/>
          <w:szCs w:val="32"/>
        </w:rPr>
        <w:t>创新设计大赛</w:t>
      </w:r>
    </w:p>
    <w:p w:rsidR="00436890" w:rsidRDefault="00A515FB">
      <w:pPr>
        <w:widowControl/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32"/>
        </w:rPr>
      </w:pP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决赛评审程序及规则</w:t>
      </w:r>
    </w:p>
    <w:p w:rsidR="00436890" w:rsidRDefault="00436890">
      <w:pPr>
        <w:rPr>
          <w:rFonts w:ascii="Times New Roman" w:eastAsiaTheme="majorEastAsia" w:hAnsi="Times New Roman" w:cs="Times New Roman"/>
        </w:rPr>
      </w:pPr>
    </w:p>
    <w:p w:rsidR="00436890" w:rsidRDefault="00A515FB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一、决赛任务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参赛队进行现场答辩，评委会评审确定特等、一、二、三等奖，社会实践优秀奖和优秀组织奖。</w:t>
      </w:r>
    </w:p>
    <w:p w:rsidR="00436890" w:rsidRDefault="00A515FB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二、作品要求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决赛资料在初赛基础上进一步完善的作品，包括设计说明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设计图纸（应达到施工图深度）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设计计算书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社会实</w:t>
      </w:r>
      <w:proofErr w:type="gramStart"/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践</w:t>
      </w:r>
      <w:proofErr w:type="gramEnd"/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资料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桥梁实物沙盘、桥梁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BIM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效果或视频等。</w:t>
      </w:r>
    </w:p>
    <w:p w:rsidR="00436890" w:rsidRDefault="00A515FB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三、评审程序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决赛按照分组赛和总决赛两个阶段进行，</w:t>
      </w:r>
      <w:r w:rsidR="00414A7E">
        <w:rPr>
          <w:rFonts w:ascii="Times New Roman" w:eastAsiaTheme="majorEastAsia" w:hAnsi="Times New Roman" w:cs="Times New Roman"/>
          <w:kern w:val="0"/>
          <w:sz w:val="32"/>
          <w:szCs w:val="32"/>
        </w:rPr>
        <w:t>11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月</w:t>
      </w:r>
      <w:r w:rsidR="00414A7E">
        <w:rPr>
          <w:rFonts w:ascii="Times New Roman" w:eastAsiaTheme="majorEastAsia" w:hAnsi="Times New Roman" w:cs="Times New Roman"/>
          <w:kern w:val="0"/>
          <w:sz w:val="32"/>
          <w:szCs w:val="32"/>
        </w:rPr>
        <w:t>30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日进行分组</w:t>
      </w:r>
      <w:r w:rsidR="002A2BFC"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决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赛，</w:t>
      </w:r>
      <w:r w:rsidR="00414A7E">
        <w:rPr>
          <w:rFonts w:ascii="Times New Roman" w:eastAsiaTheme="majorEastAsia" w:hAnsi="Times New Roman" w:cs="Times New Roman"/>
          <w:kern w:val="0"/>
          <w:sz w:val="32"/>
          <w:szCs w:val="32"/>
        </w:rPr>
        <w:t>12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月</w:t>
      </w:r>
      <w:r w:rsidR="00414A7E">
        <w:rPr>
          <w:rFonts w:ascii="Times New Roman" w:eastAsiaTheme="majorEastAsia" w:hAnsi="Times New Roman" w:cs="Times New Roman"/>
          <w:kern w:val="0"/>
          <w:sz w:val="32"/>
          <w:szCs w:val="32"/>
        </w:rPr>
        <w:t>1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上午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进行总决赛。</w:t>
      </w:r>
    </w:p>
    <w:p w:rsidR="00436890" w:rsidRDefault="00A515FB">
      <w:pPr>
        <w:ind w:firstLineChars="200" w:firstLine="643"/>
        <w:rPr>
          <w:rFonts w:ascii="Times New Roman" w:eastAsiaTheme="majorEastAsia" w:hAnsi="Times New Roman" w:cs="Times New Roman"/>
          <w:b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kern w:val="0"/>
          <w:sz w:val="32"/>
          <w:szCs w:val="32"/>
        </w:rPr>
        <w:t>（一）分组赛评审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进入决赛的作品，分成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4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个组进行比赛，通过抽签方式确定分组名单。评委采用百分制进行评审，每组根据得分高低推荐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2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件作品进入总决赛。具体评审办法：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每组评委到沙盘展示区与本组参赛队现场交流；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每队派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1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名代表现场答辩，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PPT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陈述时间不超过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10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分钟，评委问答时间不超过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5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分钟，可全队参与，总时长不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lastRenderedPageBreak/>
        <w:t>超过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15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分钟。每组评委根据评审规则进行打分，按照平均分由高到低排名；</w:t>
      </w:r>
    </w:p>
    <w:p w:rsidR="00436890" w:rsidRDefault="00A515FB">
      <w:pPr>
        <w:ind w:firstLineChars="200" w:firstLine="640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分组赛每组根据得分排序，确定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1-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2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件作品进入总决赛，每组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3-5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名为二等奖，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6-8</w:t>
      </w:r>
      <w:r>
        <w:rPr>
          <w:rFonts w:ascii="Times New Roman" w:eastAsiaTheme="majorEastAsia" w:hAnsi="Times New Roman" w:cs="Times New Roman"/>
          <w:kern w:val="0"/>
          <w:sz w:val="32"/>
          <w:szCs w:val="32"/>
        </w:rPr>
        <w:t>名为三等奖。当分数相同且分列不同等级时，并列为上一级奖项。</w:t>
      </w:r>
    </w:p>
    <w:p w:rsidR="00436890" w:rsidRDefault="00A515FB">
      <w:pPr>
        <w:ind w:firstLineChars="200" w:firstLine="643"/>
        <w:rPr>
          <w:rFonts w:ascii="Times New Roman" w:eastAsiaTheme="majorEastAsia" w:hAnsi="Times New Roman" w:cs="Times New Roman"/>
          <w:b/>
          <w:kern w:val="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kern w:val="0"/>
          <w:sz w:val="32"/>
          <w:szCs w:val="32"/>
        </w:rPr>
        <w:t>（二）总决赛评审</w:t>
      </w:r>
    </w:p>
    <w:p w:rsidR="00436890" w:rsidRDefault="00A515FB">
      <w:pPr>
        <w:ind w:firstLineChars="200" w:firstLine="640"/>
        <w:jc w:val="left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每队派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名代表现场答辩，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PPT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陈述时间不超过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分钟，评委问答时间不超过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分钟，可全队参与，总时长不超过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分钟。总决赛采用百分制，去掉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个最高分和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个最低分，按照平均分由高到</w:t>
      </w:r>
      <w:proofErr w:type="gramStart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低确定</w:t>
      </w:r>
      <w:proofErr w:type="gramEnd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特等奖和一等奖。</w:t>
      </w:r>
    </w:p>
    <w:p w:rsidR="00436890" w:rsidRDefault="00A515FB">
      <w:pPr>
        <w:ind w:firstLineChars="200" w:firstLine="640"/>
        <w:jc w:val="left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特等奖和一等奖不超过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项。其中，特等奖不超过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项，且</w:t>
      </w:r>
      <w:proofErr w:type="gramStart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平均分须在</w:t>
      </w:r>
      <w:proofErr w:type="gramEnd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90</w:t>
      </w: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分以上，可以空缺。</w:t>
      </w:r>
    </w:p>
    <w:p w:rsidR="00436890" w:rsidRDefault="00A515FB">
      <w:pPr>
        <w:ind w:firstLineChars="200" w:firstLine="640"/>
        <w:jc w:val="left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社会实践优秀奖和优秀组织</w:t>
      </w:r>
      <w:proofErr w:type="gramStart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奖根据</w:t>
      </w:r>
      <w:proofErr w:type="gramEnd"/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比赛情况由评委会现场评定。</w:t>
      </w:r>
      <w:bookmarkStart w:id="0" w:name="_GoBack"/>
      <w:bookmarkEnd w:id="0"/>
    </w:p>
    <w:p w:rsidR="00436890" w:rsidRDefault="00A515FB">
      <w:pPr>
        <w:ind w:firstLineChars="200" w:firstLine="640"/>
        <w:jc w:val="left"/>
        <w:rPr>
          <w:rFonts w:ascii="Times New Roman" w:eastAsiaTheme="majorEastAsia" w:hAnsi="Times New Roman" w:cs="Times New Roman"/>
          <w:kern w:val="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kern w:val="0"/>
          <w:sz w:val="32"/>
          <w:szCs w:val="32"/>
        </w:rPr>
        <w:t>比赛中，若出现对评比结果有争议等特殊情况，参赛队可向大赛组委会反映，由组委会召集现场会议研究处理。</w:t>
      </w:r>
    </w:p>
    <w:p w:rsidR="00436890" w:rsidRDefault="00A515FB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四、评审规则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5468"/>
        <w:gridCol w:w="1459"/>
      </w:tblGrid>
      <w:tr w:rsidR="00436890">
        <w:trPr>
          <w:trHeight w:val="680"/>
          <w:jc w:val="center"/>
        </w:trPr>
        <w:tc>
          <w:tcPr>
            <w:tcW w:w="936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  <w:t>评分类别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设计资料</w:t>
            </w:r>
          </w:p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资料完整、文件规范（沙盘、海报、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BIM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或动画）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 w:val="restart"/>
            <w:vAlign w:val="center"/>
          </w:tcPr>
          <w:p w:rsidR="00436890" w:rsidRDefault="00A51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设计方案</w:t>
            </w:r>
          </w:p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公益性：体现国情民情，助力乡村振兴。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科学性：在遵循安全、耐久等要求下，体现专业水准，鼓励新结构、新材料、新工艺、新技术的应用。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先进性：鼓励通过专业设计助力国家“双碳”战略，鼓励智能建造、绿色建造等技术应用。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实用性：重视设计方案的可实施性和实用价值，兼顾景观美学价值，与当地人文风貌、民风民俗相适应。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经济性：提倡低成本、高效益，与当地经济发展水平相适应。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 w:val="restart"/>
            <w:vAlign w:val="center"/>
          </w:tcPr>
          <w:p w:rsidR="00436890" w:rsidRDefault="00A51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设计图纸</w:t>
            </w:r>
          </w:p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图纸清晰、线条粗细分明、布局合理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设计说明详细（包括规范引用的合理性和正确性）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分析计算</w:t>
            </w:r>
          </w:p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结构计算正确、概预算合理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 w:val="restart"/>
            <w:vAlign w:val="center"/>
          </w:tcPr>
          <w:p w:rsidR="00436890" w:rsidRDefault="00A51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社会实践应用</w:t>
            </w:r>
          </w:p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基础数据收集、外业勘测充分，外业调查报告应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用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436890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436890" w:rsidRDefault="0043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pct"/>
            <w:vAlign w:val="center"/>
          </w:tcPr>
          <w:p w:rsidR="00436890" w:rsidRDefault="00A515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社会实践视频及图片资料完整清晰</w:t>
            </w:r>
          </w:p>
        </w:tc>
        <w:tc>
          <w:tcPr>
            <w:tcW w:w="857" w:type="pct"/>
            <w:vAlign w:val="center"/>
          </w:tcPr>
          <w:p w:rsidR="00436890" w:rsidRDefault="00A515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</w:tbl>
    <w:p w:rsidR="00436890" w:rsidRDefault="00436890" w:rsidP="00414A7E">
      <w:pPr>
        <w:ind w:firstLine="420"/>
      </w:pPr>
    </w:p>
    <w:sectPr w:rsidR="0043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4975C3"/>
    <w:rsid w:val="002A2BFC"/>
    <w:rsid w:val="00414A7E"/>
    <w:rsid w:val="00436890"/>
    <w:rsid w:val="00A515FB"/>
    <w:rsid w:val="014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CC2EC"/>
  <w15:docId w15:val="{07439B93-7C58-4FCA-9DC5-A69485F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白钰</dc:creator>
  <cp:lastModifiedBy>zhaoqiu</cp:lastModifiedBy>
  <cp:revision>3</cp:revision>
  <dcterms:created xsi:type="dcterms:W3CDTF">2023-08-31T09:56:00Z</dcterms:created>
  <dcterms:modified xsi:type="dcterms:W3CDTF">2024-11-06T00:10:00Z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